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42" w:rsidRPr="001A0342" w:rsidRDefault="001A0342" w:rsidP="001A0342">
      <w:pPr>
        <w:shd w:val="clear" w:color="auto" w:fill="F2EBE5"/>
        <w:spacing w:after="150" w:line="240" w:lineRule="auto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 xml:space="preserve">   </w:t>
      </w:r>
      <w:proofErr w:type="gramStart"/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- Гражданский кодекс Российской Федерации (далее – ГК РФ);                     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     - Федеральный закон «О некоммерческих организациях» от 12.01.1996 г. № 7-ФЗ – с последующими изменениями (далее – ФЗ «О некоммерческих организациях»);                  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     - Закон РФ «Об образовании» от 10.07.1992 г. № 3266-1  - с последующими изменениями (далее – Закон «Об образовании»);                  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     - Письмо Министерства общего и профессионального образования РФ от 15.12.98 г. № 57 «О внебюджетных средствах образовательного учреждения»</w:t>
      </w:r>
      <w:proofErr w:type="gramEnd"/>
    </w:p>
    <w:p w:rsidR="001A0342" w:rsidRPr="001A0342" w:rsidRDefault="001A0342" w:rsidP="001A0342">
      <w:pPr>
        <w:shd w:val="clear" w:color="auto" w:fill="F2EBE5"/>
        <w:spacing w:after="150" w:line="240" w:lineRule="auto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     - Устав муниципального бюджетного общеобразовательного учреждения основной общеобразовательной школы № 27              </w:t>
      </w:r>
    </w:p>
    <w:p w:rsidR="001A0342" w:rsidRPr="001A0342" w:rsidRDefault="001A0342" w:rsidP="001A0342">
      <w:pPr>
        <w:spacing w:after="0" w:line="240" w:lineRule="auto"/>
        <w:rPr>
          <w:rFonts w:ascii="Calibri" w:eastAsia="Times New Roman" w:hAnsi="Calibri" w:cs="Calibri"/>
          <w:color w:val="151500"/>
          <w:sz w:val="24"/>
          <w:szCs w:val="24"/>
          <w:shd w:val="clear" w:color="auto" w:fill="F2EBE5"/>
          <w:lang w:eastAsia="ru-RU"/>
        </w:rPr>
      </w:pPr>
      <w:r w:rsidRPr="001A0342">
        <w:rPr>
          <w:rFonts w:ascii="Calibri" w:eastAsia="Times New Roman" w:hAnsi="Calibri" w:cs="Calibri"/>
          <w:color w:val="151500"/>
          <w:sz w:val="24"/>
          <w:szCs w:val="24"/>
          <w:shd w:val="clear" w:color="auto" w:fill="F2EBE5"/>
          <w:lang w:eastAsia="ru-RU"/>
        </w:rPr>
        <w:pict>
          <v:rect id="_x0000_i1025" style="width:0;height:1.5pt" o:hralign="center" o:hrstd="t" o:hrnoshade="t" o:hr="t" fillcolor="#cdcac8" stroked="f"/>
        </w:pict>
      </w:r>
    </w:p>
    <w:p w:rsidR="001A0342" w:rsidRPr="001A0342" w:rsidRDefault="001A0342" w:rsidP="001A0342">
      <w:pPr>
        <w:spacing w:after="150" w:line="240" w:lineRule="auto"/>
        <w:rPr>
          <w:rFonts w:ascii="Calibri" w:eastAsia="Times New Roman" w:hAnsi="Calibri" w:cs="Calibri"/>
          <w:color w:val="151500"/>
          <w:sz w:val="20"/>
          <w:szCs w:val="20"/>
          <w:shd w:val="clear" w:color="auto" w:fill="F2EBE5"/>
          <w:lang w:eastAsia="ru-RU"/>
        </w:rPr>
      </w:pPr>
      <w:r w:rsidRPr="001A0342">
        <w:rPr>
          <w:rFonts w:ascii="Calibri" w:eastAsia="Times New Roman" w:hAnsi="Calibri" w:cs="Calibri"/>
          <w:color w:val="151500"/>
          <w:sz w:val="20"/>
          <w:szCs w:val="20"/>
          <w:shd w:val="clear" w:color="auto" w:fill="F2EBE5"/>
          <w:lang w:eastAsia="ru-RU"/>
        </w:rPr>
        <w:t> </w:t>
      </w:r>
    </w:p>
    <w:p w:rsidR="001A0342" w:rsidRPr="001A0342" w:rsidRDefault="001A0342" w:rsidP="001A0342">
      <w:pPr>
        <w:shd w:val="clear" w:color="auto" w:fill="F2EBE5"/>
        <w:spacing w:after="150" w:line="240" w:lineRule="auto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1A0342">
        <w:rPr>
          <w:rFonts w:ascii="Arial" w:eastAsia="Times New Roman" w:hAnsi="Arial" w:cs="Arial"/>
          <w:color w:val="151500"/>
          <w:sz w:val="24"/>
          <w:szCs w:val="24"/>
          <w:lang w:eastAsia="ru-RU"/>
        </w:rPr>
        <w:br/>
      </w:r>
      <w:r w:rsidRPr="001A0342">
        <w:rPr>
          <w:rFonts w:ascii="Calibri" w:eastAsia="Times New Roman" w:hAnsi="Calibri" w:cs="Calibri"/>
          <w:i/>
          <w:iCs/>
          <w:color w:val="151500"/>
          <w:sz w:val="24"/>
          <w:szCs w:val="24"/>
          <w:u w:val="single"/>
          <w:lang w:eastAsia="ru-RU"/>
        </w:rPr>
        <w:t>   Имеет ли право в соответствии с действующим законодательством муниципальное образовательное учреждение принимать благотворительную помощь?</w:t>
      </w:r>
    </w:p>
    <w:p w:rsidR="001A0342" w:rsidRPr="001A0342" w:rsidRDefault="001A0342" w:rsidP="001A0342">
      <w:pPr>
        <w:shd w:val="clear" w:color="auto" w:fill="F2EBE5"/>
        <w:spacing w:after="150" w:line="240" w:lineRule="auto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proofErr w:type="gramStart"/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В соответствии с пунктом 1 статьи 26 ФЗ «О некоммерческих организациях» источниками формирования имущества некоммерческой организации в денежной и иных формах являются добровольные имущественные взносы и пожертвования.</w:t>
      </w:r>
      <w:proofErr w:type="gramEnd"/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В соответствии с пунктом 8 статьи 41 Закона «Об образовании» образовательные учреждения вправе привлекать дополнительные финансовые средства, в том числе за счет добровольных пожертвований и целевых взносов физических и юридических лиц</w:t>
      </w:r>
      <w:proofErr w:type="gramStart"/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.</w:t>
      </w:r>
      <w:proofErr w:type="gramEnd"/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     (</w:t>
      </w:r>
      <w:proofErr w:type="gramStart"/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с</w:t>
      </w:r>
      <w:proofErr w:type="gramEnd"/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 xml:space="preserve">м. также пункт 10.6. </w:t>
      </w:r>
      <w:proofErr w:type="gramStart"/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Устава).</w:t>
      </w:r>
      <w:proofErr w:type="gramEnd"/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                        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В соответствии с Письмом Министерства общего и профессионального образования РФ от 15.12.98 г. № 57 «О внебюджетных средствах образовательного учреждения» в условиях значительного дефицита бюджетных средств руководителям образовательных учреждений рекомендовано  активизировать работу по привлечению спонсорских взносов от юридических и физических лиц.                            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Порядок приема и оформления благотворительной помощи и пожертвований регламентируется ГК РФ, НК РФ, ФЗ «О благотворительной деятельности», Порядком ведения кассовых операций, Положением о правилах организации наличного денежного обращения.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Согласно статье 1 ФЗ «О благотворительной деятельности» под благотворительной деятельностью 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В соответствии со статьей 2 ФЗ «О благотворительной деятельности» к числу целей благотворительной деятельности относятся, в частности, содействие защите детства; содействие деятельности в сфере образования, науки, культуры, искусства, просвещения, духовному развитию личности.                                                  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В соответствии со статьей 5 ФЗ «О благотворительной деятельности» Участниками благотворительной деятельности могут быть граждане и юридические лица, осуществляющие благотворительную деятельность, а также граждане и юридические лица, в интересах которых осуществляется благотворительная деятельность: благотворители, добровольцы, благополучатели.              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     </w:t>
      </w:r>
      <w:r w:rsidRPr="001A0342">
        <w:rPr>
          <w:rFonts w:ascii="Calibri" w:eastAsia="Times New Roman" w:hAnsi="Calibri" w:cs="Calibri"/>
          <w:b/>
          <w:bCs/>
          <w:color w:val="151500"/>
          <w:sz w:val="24"/>
          <w:szCs w:val="24"/>
          <w:lang w:eastAsia="ru-RU"/>
        </w:rPr>
        <w:t>Благотворители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 - лица, осуществляющие благотворительные пожертвования в формах: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 xml:space="preserve">- бескорыстной (безвозмездной или на льготных условиях) передачи в собственность 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lastRenderedPageBreak/>
        <w:t>имущества, в том числе денежных средств и (или) объектов интеллектуальной собственности;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- 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1A0342" w:rsidRPr="001A0342" w:rsidRDefault="001A0342" w:rsidP="001A0342">
      <w:pPr>
        <w:shd w:val="clear" w:color="auto" w:fill="F2EBE5"/>
        <w:spacing w:after="150" w:line="240" w:lineRule="auto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-бескорыстного (безвозмездного или на льготных условиях) выполнения работ, предоставления услуг благотворителями - юридическими лицами.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Благотворители вправе определять цели и порядок использования своих пожертвований.</w:t>
      </w:r>
    </w:p>
    <w:p w:rsidR="001A0342" w:rsidRPr="001A0342" w:rsidRDefault="001A0342" w:rsidP="001A0342">
      <w:pPr>
        <w:shd w:val="clear" w:color="auto" w:fill="F2EBE5"/>
        <w:spacing w:after="150" w:line="240" w:lineRule="auto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    </w:t>
      </w:r>
      <w:r w:rsidRPr="001A0342">
        <w:rPr>
          <w:rFonts w:ascii="Calibri" w:eastAsia="Times New Roman" w:hAnsi="Calibri" w:cs="Calibri"/>
          <w:b/>
          <w:bCs/>
          <w:color w:val="151500"/>
          <w:sz w:val="24"/>
          <w:szCs w:val="24"/>
          <w:lang w:eastAsia="ru-RU"/>
        </w:rPr>
        <w:t> Добровольцы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- граждане, осуществляющие благотворительную деятельность в форме безвозмездного труда в интересах благополучателя, в том числе в интересах благотворительной организации.                             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Благополучатели - лица, получающие благотворительные пожертвования от благотворителей, помощь добровольцев.                                  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Благотворительная деятельность в форме передачи имущества, в том числе денежных средств, может осуществляться на основании двух видов гражданско-правовых договоров: дарения (статья 572 ГК РФ) и пожертвования (статья 582 ГК РФ).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</w:r>
      <w:r w:rsidRPr="001A0342">
        <w:rPr>
          <w:rFonts w:ascii="Calibri" w:eastAsia="Times New Roman" w:hAnsi="Calibri" w:cs="Calibri"/>
          <w:b/>
          <w:bCs/>
          <w:color w:val="151500"/>
          <w:sz w:val="24"/>
          <w:szCs w:val="24"/>
          <w:lang w:eastAsia="ru-RU"/>
        </w:rPr>
        <w:t>По договору дарения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 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 (пункт 1 статьи 572 ГК РФ).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</w:r>
      <w:r w:rsidRPr="001A0342">
        <w:rPr>
          <w:rFonts w:ascii="Calibri" w:eastAsia="Times New Roman" w:hAnsi="Calibri" w:cs="Calibri"/>
          <w:b/>
          <w:bCs/>
          <w:color w:val="151500"/>
          <w:sz w:val="24"/>
          <w:szCs w:val="24"/>
          <w:lang w:eastAsia="ru-RU"/>
        </w:rPr>
        <w:t>Пожертвованием признается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 xml:space="preserve">дарение вещи или права в общеполезных целях (пункт 1 статьи 582 ГК РФ). Пожертвование – разновидность дарения, характеризуемое достаточно узким субъективным составом </w:t>
      </w:r>
      <w:proofErr w:type="gramStart"/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одаряемых</w:t>
      </w:r>
      <w:proofErr w:type="gramEnd"/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. Пожертвования могут делаться гражданам, лечебным, воспитательным учреждениям, учреждениям социальной защиты и другим аналогичным учреждениям, благотворительным, научным и образовательным учреждениям, фондам, музеям и другим учреждениям культуры, общественным и религиозным организациям, иным некоммерческим организациям в соответствии с законом, а также государству и другим субъектам гражданского права, указанным в статье 124 ГК РФ.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В качестве предмета пожертвования обозначены вещи или права. Здесь, однако, следует учитывать, что в силу статьи 128 ГК РФ к таким понятиям отнесены вещи, включая деньги и ценные бумаги, иное имущество, в том числе имущественные права.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В соответствии с пактом 2 статьи 582 ГК РФ на принятие пожертвования не требуется чьего-либо разрешения или согласия.                                         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В соответствии с пактом 3 статьи 582 ГК РФ юридическое лицо, принимающее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имущества. </w:t>
      </w:r>
    </w:p>
    <w:p w:rsidR="001A0342" w:rsidRPr="001A0342" w:rsidRDefault="001A0342" w:rsidP="001A0342">
      <w:pPr>
        <w:spacing w:after="150" w:line="240" w:lineRule="auto"/>
        <w:rPr>
          <w:rFonts w:ascii="Arial" w:eastAsia="Times New Roman" w:hAnsi="Arial" w:cs="Arial"/>
          <w:color w:val="151500"/>
          <w:sz w:val="20"/>
          <w:szCs w:val="20"/>
          <w:shd w:val="clear" w:color="auto" w:fill="F2EBE5"/>
          <w:lang w:eastAsia="ru-RU"/>
        </w:rPr>
      </w:pPr>
      <w:r w:rsidRPr="001A0342">
        <w:rPr>
          <w:rFonts w:ascii="Arial" w:eastAsia="Times New Roman" w:hAnsi="Arial" w:cs="Arial"/>
          <w:color w:val="151500"/>
          <w:sz w:val="20"/>
          <w:szCs w:val="20"/>
          <w:shd w:val="clear" w:color="auto" w:fill="F2EBE5"/>
          <w:lang w:eastAsia="ru-RU"/>
        </w:rPr>
        <w:br/>
      </w:r>
      <w:r w:rsidRPr="001A0342">
        <w:rPr>
          <w:rFonts w:ascii="Calibri" w:eastAsia="Times New Roman" w:hAnsi="Calibri" w:cs="Calibri"/>
          <w:i/>
          <w:iCs/>
          <w:color w:val="151500"/>
          <w:sz w:val="20"/>
          <w:u w:val="single"/>
          <w:lang w:eastAsia="ru-RU"/>
        </w:rPr>
        <w:t>   </w:t>
      </w:r>
      <w:r w:rsidRPr="001A0342">
        <w:rPr>
          <w:rFonts w:ascii="Calibri" w:eastAsia="Times New Roman" w:hAnsi="Calibri" w:cs="Calibri"/>
          <w:i/>
          <w:iCs/>
          <w:color w:val="151500"/>
          <w:sz w:val="24"/>
          <w:szCs w:val="24"/>
          <w:u w:val="single"/>
          <w:lang w:eastAsia="ru-RU"/>
        </w:rPr>
        <w:t>В каких случаях в соответствии с действующим законодательством образовательное учреждение обязано заключать письменный договор при приеме благотворительной помощи? </w:t>
      </w:r>
    </w:p>
    <w:p w:rsidR="001A0342" w:rsidRPr="001A0342" w:rsidRDefault="001A0342" w:rsidP="001A0342">
      <w:pPr>
        <w:shd w:val="clear" w:color="auto" w:fill="F2EBE5"/>
        <w:spacing w:after="150" w:line="240" w:lineRule="auto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1A0342">
        <w:rPr>
          <w:rFonts w:ascii="Arial" w:eastAsia="Times New Roman" w:hAnsi="Arial" w:cs="Arial"/>
          <w:i/>
          <w:iCs/>
          <w:color w:val="151500"/>
          <w:sz w:val="24"/>
          <w:szCs w:val="24"/>
          <w:u w:val="single"/>
          <w:lang w:eastAsia="ru-RU"/>
        </w:rPr>
        <w:br/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 xml:space="preserve">В соответствии с пунктом 1 статьи 574 ГК РФ дарение, сопровождаемое передачей дара одаряемому, может быть совершено устно, за исключением случаев, предусмотренных пунктами 2 и 3 указанной статьи. Передача дара осуществляется посредством его вручения, символической передачи (вручение ключей и т.п.) либо вручения 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lastRenderedPageBreak/>
        <w:t>правоустанавливающих документов.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Пункт 2 статьи 574 определяет, что договор дарения движимого имущества должен быть совершен в письменной форме в случаях, когда:                                             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 xml:space="preserve">- дарителем является юридическое лицо и стоимость дара превышает пять установленных законом минимальных </w:t>
      </w:r>
      <w:proofErr w:type="gramStart"/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размеров оплаты труда</w:t>
      </w:r>
      <w:proofErr w:type="gramEnd"/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;                                             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- договор содержит обещание дарения в будущем.                                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Пункт 3 статьи 574 определяет обязательность письменной формы сделки при дарении недвижимого имущества.                   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</w:r>
      <w:r w:rsidRPr="001A0342">
        <w:rPr>
          <w:rFonts w:ascii="Calibri" w:eastAsia="Times New Roman" w:hAnsi="Calibri" w:cs="Calibri"/>
          <w:b/>
          <w:bCs/>
          <w:color w:val="151500"/>
          <w:sz w:val="24"/>
          <w:szCs w:val="24"/>
          <w:lang w:eastAsia="ru-RU"/>
        </w:rPr>
        <w:t>Таким образом, письменный договор дарения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 </w:t>
      </w:r>
      <w:r w:rsidRPr="001A0342">
        <w:rPr>
          <w:rFonts w:ascii="Calibri" w:eastAsia="Times New Roman" w:hAnsi="Calibri" w:cs="Calibri"/>
          <w:b/>
          <w:bCs/>
          <w:color w:val="151500"/>
          <w:sz w:val="24"/>
          <w:szCs w:val="24"/>
          <w:lang w:eastAsia="ru-RU"/>
        </w:rPr>
        <w:t>заключается образовательным учреждением в следующих случаях: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 xml:space="preserve">- дарителем является юридическое </w:t>
      </w:r>
      <w:proofErr w:type="gramStart"/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лицо</w:t>
      </w:r>
      <w:proofErr w:type="gramEnd"/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 xml:space="preserve"> и стоимость дара превышает пять МРОТ;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- договор содержит обещание дарения в будущем;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- предметом договора дарения является недвижимое имущество.</w:t>
      </w:r>
    </w:p>
    <w:p w:rsidR="001A0342" w:rsidRPr="001A0342" w:rsidRDefault="001A0342" w:rsidP="001A0342">
      <w:pPr>
        <w:shd w:val="clear" w:color="auto" w:fill="F2EBE5"/>
        <w:spacing w:after="150" w:line="240" w:lineRule="auto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 </w:t>
      </w:r>
    </w:p>
    <w:p w:rsidR="001A0342" w:rsidRPr="001A0342" w:rsidRDefault="001A0342" w:rsidP="001A0342">
      <w:pPr>
        <w:shd w:val="clear" w:color="auto" w:fill="F2EBE5"/>
        <w:spacing w:after="150" w:line="240" w:lineRule="auto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1A0342">
        <w:rPr>
          <w:rFonts w:ascii="Calibri" w:eastAsia="Times New Roman" w:hAnsi="Calibri" w:cs="Calibri"/>
          <w:i/>
          <w:iCs/>
          <w:color w:val="151500"/>
          <w:sz w:val="24"/>
          <w:szCs w:val="24"/>
          <w:u w:val="single"/>
          <w:lang w:eastAsia="ru-RU"/>
        </w:rPr>
        <w:t>   Имеет ли право учредитель образовательного учреждения устанавливать для учреждения особый порядок приема благотворительной помощи, обязательность заключения с жертвователями письменного договора в случаях, когда заключение письменного договора не обязательно, требовать ведение журнала учета договоров пожертвования? </w:t>
      </w:r>
    </w:p>
    <w:p w:rsidR="001A0342" w:rsidRPr="001A0342" w:rsidRDefault="001A0342" w:rsidP="001A0342">
      <w:pPr>
        <w:shd w:val="clear" w:color="auto" w:fill="F2EBE5"/>
        <w:spacing w:after="150" w:line="240" w:lineRule="auto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1A0342">
        <w:rPr>
          <w:rFonts w:ascii="Calibri" w:eastAsia="Times New Roman" w:hAnsi="Calibri" w:cs="Calibri"/>
          <w:i/>
          <w:iCs/>
          <w:color w:val="151500"/>
          <w:sz w:val="24"/>
          <w:szCs w:val="24"/>
          <w:u w:val="single"/>
          <w:lang w:eastAsia="ru-RU"/>
        </w:rPr>
        <w:br/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Статьей 13 (подпункт а) пункта 7) Закона «Об образовании» определено, что компетенция учредителя образовательного учреждения устанавливается Уставом образовательного учреждения.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 xml:space="preserve">Учреждение является юридическим лицом, самостоятельно приобретает права и </w:t>
      </w:r>
      <w:proofErr w:type="gramStart"/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несет обязанности</w:t>
      </w:r>
      <w:proofErr w:type="gramEnd"/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, установленные действующим законодательством.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В соответствии с пунктом 2 статьи 35 Закона «Об образовании» управление образовательными учреждениями строится на принципах единоначалия и самоуправления.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Таким образом, </w:t>
      </w:r>
      <w:r w:rsidRPr="001A0342">
        <w:rPr>
          <w:rFonts w:ascii="Calibri" w:eastAsia="Times New Roman" w:hAnsi="Calibri" w:cs="Calibri"/>
          <w:b/>
          <w:bCs/>
          <w:color w:val="151500"/>
          <w:sz w:val="24"/>
          <w:szCs w:val="24"/>
          <w:lang w:eastAsia="ru-RU"/>
        </w:rPr>
        <w:t>учредитель не вправе вмешиваться в деятельность образовательного учреждения, а учреждение самостоятельно определяет порядок осуществления деятельности в соответствии с действующим законодательством, в том числе: </w:t>
      </w:r>
      <w:r w:rsidRPr="001A0342">
        <w:rPr>
          <w:rFonts w:ascii="Calibri" w:eastAsia="Times New Roman" w:hAnsi="Calibri" w:cs="Calibri"/>
          <w:b/>
          <w:bCs/>
          <w:color w:val="151500"/>
          <w:sz w:val="24"/>
          <w:szCs w:val="24"/>
          <w:lang w:eastAsia="ru-RU"/>
        </w:rPr>
        <w:br/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· устанавливает порядок приема благотворительной помощи;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· возможность заключения письменных договоров с жертвователями в случаях, когда обязательная письменная форма договора не установлена;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 xml:space="preserve">· </w:t>
      </w:r>
      <w:proofErr w:type="gramStart"/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устанавлив ает</w:t>
      </w:r>
      <w:proofErr w:type="gramEnd"/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 xml:space="preserve"> порядок и необходимость учета заключенных договоров, в том числе – договоров пожертвования. </w:t>
      </w:r>
    </w:p>
    <w:p w:rsidR="001A0342" w:rsidRPr="001A0342" w:rsidRDefault="001A0342" w:rsidP="001A0342">
      <w:pPr>
        <w:spacing w:after="150" w:line="240" w:lineRule="auto"/>
        <w:rPr>
          <w:rFonts w:ascii="Arial" w:eastAsia="Times New Roman" w:hAnsi="Arial" w:cs="Arial"/>
          <w:color w:val="151500"/>
          <w:sz w:val="20"/>
          <w:szCs w:val="20"/>
          <w:shd w:val="clear" w:color="auto" w:fill="F2EBE5"/>
          <w:lang w:eastAsia="ru-RU"/>
        </w:rPr>
      </w:pPr>
      <w:r w:rsidRPr="001A0342">
        <w:rPr>
          <w:rFonts w:ascii="Arial" w:eastAsia="Times New Roman" w:hAnsi="Arial" w:cs="Arial"/>
          <w:color w:val="151500"/>
          <w:sz w:val="20"/>
          <w:szCs w:val="20"/>
          <w:shd w:val="clear" w:color="auto" w:fill="F2EBE5"/>
          <w:lang w:eastAsia="ru-RU"/>
        </w:rPr>
        <w:br/>
      </w:r>
      <w:r w:rsidRPr="001A0342">
        <w:rPr>
          <w:rFonts w:ascii="Calibri" w:eastAsia="Times New Roman" w:hAnsi="Calibri" w:cs="Calibri"/>
          <w:i/>
          <w:iCs/>
          <w:color w:val="151500"/>
          <w:sz w:val="20"/>
          <w:u w:val="single"/>
          <w:lang w:eastAsia="ru-RU"/>
        </w:rPr>
        <w:t>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u w:val="single"/>
          <w:shd w:val="clear" w:color="auto" w:fill="F2EBE5"/>
          <w:lang w:eastAsia="ru-RU"/>
        </w:rPr>
        <w:t> </w:t>
      </w:r>
      <w:r w:rsidRPr="001A0342">
        <w:rPr>
          <w:rFonts w:ascii="Calibri" w:eastAsia="Times New Roman" w:hAnsi="Calibri" w:cs="Calibri"/>
          <w:i/>
          <w:iCs/>
          <w:color w:val="151500"/>
          <w:sz w:val="24"/>
          <w:szCs w:val="24"/>
          <w:u w:val="single"/>
          <w:lang w:eastAsia="ru-RU"/>
        </w:rPr>
        <w:t>Имеет ли право руководитель образовательного учреждения в соответствии с действующим законодательством лично принимать благотворительную помощь и добровольные пожертвования? </w:t>
      </w:r>
    </w:p>
    <w:p w:rsidR="001A0342" w:rsidRPr="001A0342" w:rsidRDefault="001A0342" w:rsidP="001A0342">
      <w:pPr>
        <w:spacing w:after="150" w:line="240" w:lineRule="auto"/>
        <w:rPr>
          <w:rFonts w:ascii="Arial" w:eastAsia="Times New Roman" w:hAnsi="Arial" w:cs="Arial"/>
          <w:color w:val="151500"/>
          <w:sz w:val="20"/>
          <w:szCs w:val="20"/>
          <w:shd w:val="clear" w:color="auto" w:fill="F2EBE5"/>
          <w:lang w:eastAsia="ru-RU"/>
        </w:rPr>
      </w:pPr>
      <w:r w:rsidRPr="001A0342">
        <w:rPr>
          <w:rFonts w:ascii="Calibri" w:eastAsia="Times New Roman" w:hAnsi="Calibri" w:cs="Calibri"/>
          <w:i/>
          <w:iCs/>
          <w:color w:val="151500"/>
          <w:sz w:val="24"/>
          <w:szCs w:val="24"/>
          <w:u w:val="single"/>
          <w:shd w:val="clear" w:color="auto" w:fill="F2EBE5"/>
          <w:lang w:eastAsia="ru-RU"/>
        </w:rPr>
        <w:br/>
      </w:r>
      <w:r w:rsidRPr="001A0342">
        <w:rPr>
          <w:rFonts w:ascii="Calibri" w:eastAsia="Times New Roman" w:hAnsi="Calibri" w:cs="Calibri"/>
          <w:color w:val="151500"/>
          <w:sz w:val="24"/>
          <w:szCs w:val="24"/>
          <w:shd w:val="clear" w:color="auto" w:fill="F2EBE5"/>
          <w:lang w:eastAsia="ru-RU"/>
        </w:rPr>
        <w:t>В соответствии с пунктом 3 статьи 35 Закона «Об образовании» непосредственное </w:t>
      </w:r>
      <w:r w:rsidRPr="001A0342">
        <w:rPr>
          <w:rFonts w:ascii="Calibri" w:eastAsia="Times New Roman" w:hAnsi="Calibri" w:cs="Calibri"/>
          <w:b/>
          <w:bCs/>
          <w:color w:val="151500"/>
          <w:sz w:val="24"/>
          <w:szCs w:val="24"/>
          <w:lang w:eastAsia="ru-RU"/>
        </w:rPr>
        <w:t>управление муниципальным образовательным учреждением осуществляет прошедший соответствующую аттестацию руководитель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shd w:val="clear" w:color="auto" w:fill="F2EBE5"/>
          <w:lang w:eastAsia="ru-RU"/>
        </w:rPr>
        <w:t>(заведующий).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shd w:val="clear" w:color="auto" w:fill="F2EBE5"/>
          <w:lang w:eastAsia="ru-RU"/>
        </w:rPr>
        <w:br/>
        <w:t xml:space="preserve">В соответствии со статьей 30 ФЗ «О некоммерческих организациях» текущее руководство деятельностью некоммерческой организации осуществляет исполнительный орган некоммерческий организации (заведующий). К компетенции исполнительного органа 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shd w:val="clear" w:color="auto" w:fill="F2EBE5"/>
          <w:lang w:eastAsia="ru-RU"/>
        </w:rPr>
        <w:lastRenderedPageBreak/>
        <w:t>некоммерческой организации (заведующего) относится решение всех вопросов, которые не составляют исключительную компетенцию других органов управления некоммерческой организацией.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shd w:val="clear" w:color="auto" w:fill="F2EBE5"/>
          <w:lang w:eastAsia="ru-RU"/>
        </w:rPr>
        <w:br/>
        <w:t>В соответствии с пунктом 8.21 Устава </w:t>
      </w:r>
      <w:r w:rsidRPr="001A0342">
        <w:rPr>
          <w:rFonts w:ascii="Calibri" w:eastAsia="Times New Roman" w:hAnsi="Calibri" w:cs="Calibri"/>
          <w:b/>
          <w:bCs/>
          <w:color w:val="151500"/>
          <w:sz w:val="24"/>
          <w:szCs w:val="24"/>
          <w:lang w:eastAsia="ru-RU"/>
        </w:rPr>
        <w:t>руководитель Учреждения осуществляет непосредственное управление Учреждением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shd w:val="clear" w:color="auto" w:fill="F2EBE5"/>
          <w:lang w:eastAsia="ru-RU"/>
        </w:rPr>
        <w:t>, действует на основе единоначалия и решает все вопросы деятельности Учреждения, не входящие в компетенцию органов самоуправления (Совет Учреждения, Педагогический совет, Общее собрание трудового коллектива, Попечительский совет) и Учредителя.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shd w:val="clear" w:color="auto" w:fill="F2EBE5"/>
          <w:lang w:eastAsia="ru-RU"/>
        </w:rPr>
        <w:br/>
        <w:t xml:space="preserve">Распоряжение денежными средствами (в том числе их получение) к компетенции органов самоуправления Уставом не </w:t>
      </w:r>
      <w:proofErr w:type="gramStart"/>
      <w:r w:rsidRPr="001A0342">
        <w:rPr>
          <w:rFonts w:ascii="Calibri" w:eastAsia="Times New Roman" w:hAnsi="Calibri" w:cs="Calibri"/>
          <w:color w:val="151500"/>
          <w:sz w:val="24"/>
          <w:szCs w:val="24"/>
          <w:shd w:val="clear" w:color="auto" w:fill="F2EBE5"/>
          <w:lang w:eastAsia="ru-RU"/>
        </w:rPr>
        <w:t>отнесена</w:t>
      </w:r>
      <w:proofErr w:type="gramEnd"/>
      <w:r w:rsidRPr="001A0342">
        <w:rPr>
          <w:rFonts w:ascii="Calibri" w:eastAsia="Times New Roman" w:hAnsi="Calibri" w:cs="Calibri"/>
          <w:color w:val="151500"/>
          <w:sz w:val="24"/>
          <w:szCs w:val="24"/>
          <w:shd w:val="clear" w:color="auto" w:fill="F2EBE5"/>
          <w:lang w:eastAsia="ru-RU"/>
        </w:rPr>
        <w:t>. Статьей 13 (подпункт а) пункта 7) Закона «Об образовании» определено, что компетенция учредителя образовательного учреждения устанавливается Уставом образовательного учреждения, в Уставе компетенция Учредителя определена в пункте 8.2, </w:t>
      </w:r>
      <w:r w:rsidRPr="001A0342">
        <w:rPr>
          <w:rFonts w:ascii="Calibri" w:eastAsia="Times New Roman" w:hAnsi="Calibri" w:cs="Calibri"/>
          <w:b/>
          <w:bCs/>
          <w:color w:val="151500"/>
          <w:sz w:val="24"/>
          <w:szCs w:val="24"/>
          <w:lang w:eastAsia="ru-RU"/>
        </w:rPr>
        <w:t>распоряжение внебюджетными денежными средствами (в том числе их получение) к компетенции Учредителя Уставом не отнесена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shd w:val="clear" w:color="auto" w:fill="F2EBE5"/>
          <w:lang w:eastAsia="ru-RU"/>
        </w:rPr>
        <w:t>.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shd w:val="clear" w:color="auto" w:fill="F2EBE5"/>
          <w:lang w:eastAsia="ru-RU"/>
        </w:rPr>
        <w:br/>
        <w:t>Таким образом, на основании вышеизложенного, </w:t>
      </w:r>
      <w:r w:rsidRPr="001A0342">
        <w:rPr>
          <w:rFonts w:ascii="Calibri" w:eastAsia="Times New Roman" w:hAnsi="Calibri" w:cs="Calibri"/>
          <w:b/>
          <w:bCs/>
          <w:color w:val="151500"/>
          <w:sz w:val="24"/>
          <w:szCs w:val="24"/>
          <w:lang w:eastAsia="ru-RU"/>
        </w:rPr>
        <w:t>распоряжение внебюджетными денежными средствами (в том числе их прием), относится к компетенции руководителя образовательного учреждения и осуществляется им лично и/или лицом, уполномоченным руководителем.</w:t>
      </w:r>
    </w:p>
    <w:p w:rsidR="001A0342" w:rsidRPr="001A0342" w:rsidRDefault="001A0342" w:rsidP="001A0342">
      <w:pPr>
        <w:spacing w:after="150" w:line="240" w:lineRule="auto"/>
        <w:rPr>
          <w:rFonts w:ascii="Arial" w:eastAsia="Times New Roman" w:hAnsi="Arial" w:cs="Arial"/>
          <w:color w:val="151500"/>
          <w:sz w:val="20"/>
          <w:szCs w:val="20"/>
          <w:shd w:val="clear" w:color="auto" w:fill="F2EBE5"/>
          <w:lang w:eastAsia="ru-RU"/>
        </w:rPr>
      </w:pPr>
      <w:r w:rsidRPr="001A0342">
        <w:rPr>
          <w:rFonts w:ascii="Arial" w:eastAsia="Times New Roman" w:hAnsi="Arial" w:cs="Arial"/>
          <w:color w:val="151500"/>
          <w:sz w:val="20"/>
          <w:szCs w:val="20"/>
          <w:shd w:val="clear" w:color="auto" w:fill="F2EBE5"/>
          <w:lang w:eastAsia="ru-RU"/>
        </w:rPr>
        <w:t> </w:t>
      </w:r>
    </w:p>
    <w:p w:rsidR="001A0342" w:rsidRPr="001A0342" w:rsidRDefault="001A0342" w:rsidP="001A0342">
      <w:pPr>
        <w:shd w:val="clear" w:color="auto" w:fill="F2EBE5"/>
        <w:spacing w:after="150" w:line="240" w:lineRule="auto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1A0342">
        <w:rPr>
          <w:rFonts w:ascii="Arial" w:eastAsia="Times New Roman" w:hAnsi="Arial" w:cs="Arial"/>
          <w:color w:val="20303C"/>
          <w:sz w:val="20"/>
          <w:szCs w:val="20"/>
          <w:lang w:eastAsia="ru-RU"/>
        </w:rPr>
        <w:t> </w:t>
      </w:r>
    </w:p>
    <w:p w:rsidR="001A0342" w:rsidRPr="001A0342" w:rsidRDefault="001A0342" w:rsidP="001A0342">
      <w:pPr>
        <w:shd w:val="clear" w:color="auto" w:fill="F2EBE5"/>
        <w:spacing w:after="150" w:line="240" w:lineRule="auto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1A0342">
        <w:rPr>
          <w:rFonts w:ascii="Calibri" w:eastAsia="Times New Roman" w:hAnsi="Calibri" w:cs="Calibri"/>
          <w:i/>
          <w:iCs/>
          <w:color w:val="151500"/>
          <w:sz w:val="24"/>
          <w:szCs w:val="24"/>
          <w:u w:val="single"/>
          <w:lang w:eastAsia="ru-RU"/>
        </w:rPr>
        <w:t>   Имеет ли право руководитель образовательного учреждения в соответствии с действующим законодательством самостоятельно распоряжаться полученной благотворительной помощью и добровольными пожертвованиями при условии соблюдения целевого назначения взносов? </w:t>
      </w:r>
    </w:p>
    <w:p w:rsidR="001A0342" w:rsidRPr="001A0342" w:rsidRDefault="001A0342" w:rsidP="001A0342">
      <w:pPr>
        <w:shd w:val="clear" w:color="auto" w:fill="F2EBE5"/>
        <w:spacing w:after="150" w:line="240" w:lineRule="auto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1A0342">
        <w:rPr>
          <w:rFonts w:ascii="Calibri" w:eastAsia="Times New Roman" w:hAnsi="Calibri" w:cs="Calibri"/>
          <w:i/>
          <w:iCs/>
          <w:color w:val="151500"/>
          <w:sz w:val="24"/>
          <w:szCs w:val="24"/>
          <w:u w:val="single"/>
          <w:lang w:eastAsia="ru-RU"/>
        </w:rPr>
        <w:br/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В соответствии с пунктом 2 статьи 298 ГК РФ </w:t>
      </w:r>
      <w:r w:rsidRPr="001A0342">
        <w:rPr>
          <w:rFonts w:ascii="Calibri" w:eastAsia="Times New Roman" w:hAnsi="Calibri" w:cs="Calibri"/>
          <w:b/>
          <w:bCs/>
          <w:color w:val="151500"/>
          <w:sz w:val="24"/>
          <w:szCs w:val="24"/>
          <w:lang w:eastAsia="ru-RU"/>
        </w:rPr>
        <w:t>учреждение вправе самостоятельно распоряжаться доходами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t>, полученными учреждением от деятельности, приносящей доходы, предусмотренной его учредительными документами, и приобретенным за счет этих доходов имуществом, учитываемом на отдельном балансе.                                 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В соответствии с пунктом 8.21 Устава руководитель Учреждения осуществляет непосредственное управление Учреждением, действует на основе единоначалия и решает все вопросы деятельности Учреждения, не входящие в компетенцию органов самоуправления (Совет Учреждения, Педагогический совет, Общее собрание трудового коллектива, Попечительский совет) и Учредителя.                                   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К компетенции органов самоуправления и Учредителя Уставом право распоряжения внебюджетными денежными средствами Уставом не отнесено.                             </w:t>
      </w:r>
      <w:r w:rsidRPr="001A0342">
        <w:rPr>
          <w:rFonts w:ascii="Calibri" w:eastAsia="Times New Roman" w:hAnsi="Calibri" w:cs="Calibri"/>
          <w:color w:val="151500"/>
          <w:sz w:val="24"/>
          <w:szCs w:val="24"/>
          <w:lang w:eastAsia="ru-RU"/>
        </w:rPr>
        <w:br/>
        <w:t>Таким образом, </w:t>
      </w:r>
      <w:r w:rsidRPr="001A0342">
        <w:rPr>
          <w:rFonts w:ascii="Calibri" w:eastAsia="Times New Roman" w:hAnsi="Calibri" w:cs="Calibri"/>
          <w:b/>
          <w:bCs/>
          <w:color w:val="151500"/>
          <w:sz w:val="24"/>
          <w:szCs w:val="24"/>
          <w:lang w:eastAsia="ru-RU"/>
        </w:rPr>
        <w:t>распоряжение внебюджетными денежными средствами (в том числе их прием) относится к компетенции руководителя образовательного учреждения и осуществляется с учетом целевого назначения пожертвования и/или направляется на ведение уставной деятельности, если жертвователь не указал цель взноса. </w:t>
      </w:r>
    </w:p>
    <w:p w:rsidR="00C61744" w:rsidRDefault="00C61744"/>
    <w:sectPr w:rsidR="00C61744" w:rsidSect="00C6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A0342"/>
    <w:rsid w:val="001A0342"/>
    <w:rsid w:val="00C6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0342"/>
    <w:rPr>
      <w:i/>
      <w:iCs/>
    </w:rPr>
  </w:style>
  <w:style w:type="character" w:styleId="a5">
    <w:name w:val="Strong"/>
    <w:basedOn w:val="a0"/>
    <w:uiPriority w:val="22"/>
    <w:qFormat/>
    <w:rsid w:val="001A03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1774</Words>
  <Characters>10112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2020-11-25T17:52:00Z</dcterms:created>
  <dcterms:modified xsi:type="dcterms:W3CDTF">2020-11-25T17:52:00Z</dcterms:modified>
</cp:coreProperties>
</file>